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32" w:type="pct"/>
        <w:tblCellSpacing w:w="0" w:type="dxa"/>
        <w:tblInd w:w="-743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678"/>
      </w:tblGrid>
      <w:tr w:rsidR="00F553C7" w:rsidRPr="00901D81" w:rsidTr="00B55DB5">
        <w:trPr>
          <w:trHeight w:val="15677"/>
          <w:tblCellSpacing w:w="0" w:type="dxa"/>
        </w:trPr>
        <w:tc>
          <w:tcPr>
            <w:tcW w:w="10925" w:type="dxa"/>
            <w:shd w:val="clear" w:color="auto" w:fill="auto"/>
            <w:vAlign w:val="center"/>
          </w:tcPr>
          <w:tbl>
            <w:tblPr>
              <w:tblW w:w="1070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8"/>
            </w:tblGrid>
            <w:tr w:rsidR="00F553C7" w:rsidRPr="00797404" w:rsidTr="00B55DB5">
              <w:trPr>
                <w:trHeight w:val="1487"/>
                <w:tblCellSpacing w:w="0" w:type="dxa"/>
              </w:trPr>
              <w:tc>
                <w:tcPr>
                  <w:tcW w:w="10708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797404" w:rsidRDefault="00DA4B02" w:rsidP="00064F3C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</w:pPr>
                  <w:r w:rsidRPr="00797404">
                    <w:rPr>
                      <w:noProof/>
                      <w:sz w:val="20"/>
                      <w:szCs w:val="20"/>
                      <w:lang w:val="af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4980940" cy="846455"/>
                            <wp:effectExtent l="9525" t="8890" r="10160" b="1143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846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Pr="00797404" w:rsidRDefault="00797404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</w:pPr>
                                        <w:r w:rsidRPr="0079740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UIT DIE PEN VAN DIE </w:t>
                                        </w:r>
                                        <w:r w:rsidR="00044293" w:rsidRPr="0079740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CEO</w:t>
                                        </w:r>
                                        <w:r w:rsidR="0093505E" w:rsidRPr="0079740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 (19</w:t>
                                        </w:r>
                                        <w:r w:rsidR="00044293" w:rsidRPr="0079740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/17)</w:t>
                                        </w:r>
                                      </w:p>
                                      <w:p w:rsidR="00044293" w:rsidRPr="00797404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797404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(</w:t>
                                        </w:r>
                                        <w:r w:rsidR="00797404" w:rsidRPr="00797404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Volg my op </w:t>
                                        </w:r>
                                        <w:r w:rsidRPr="00797404">
                                          <w:rPr>
                                            <w:rFonts w:ascii="Comic Sans MS" w:hAnsi="Comic Sans MS"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Twitter justchad_cga)</w:t>
                                        </w:r>
                                      </w:p>
                                      <w:p w:rsidR="00044293" w:rsidRPr="00797404" w:rsidRDefault="00670EA6" w:rsidP="00DA4B02">
                                        <w:pPr>
                                          <w:spacing w:line="240" w:lineRule="auto"/>
                                          <w:rPr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79740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Justin Chadwick 2 Jun</w:t>
                                        </w:r>
                                        <w:r w:rsidR="00797404" w:rsidRPr="0079740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i</w:t>
                                        </w:r>
                                        <w:r w:rsidRPr="0079740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e</w:t>
                                        </w:r>
                                        <w:r w:rsidR="00783644" w:rsidRPr="0079740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0;margin-top:0;width:392.2pt;height:66.6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">
                            <v:textbox>
                              <w:txbxContent>
                                <w:p w:rsidR="00044293" w:rsidRPr="00797404" w:rsidRDefault="00797404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</w:pPr>
                                  <w:r w:rsidRPr="00797404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UIT DIE PEN VAN DIE </w:t>
                                  </w:r>
                                  <w:r w:rsidR="00044293" w:rsidRPr="00797404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CEO</w:t>
                                  </w:r>
                                  <w:r w:rsidR="0093505E" w:rsidRPr="00797404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 (19</w:t>
                                  </w:r>
                                  <w:r w:rsidR="00044293" w:rsidRPr="00797404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/17)</w:t>
                                  </w:r>
                                </w:p>
                                <w:p w:rsidR="00044293" w:rsidRPr="00797404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797404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(</w:t>
                                  </w:r>
                                  <w:r w:rsidR="00797404" w:rsidRPr="00797404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Volg my op </w:t>
                                  </w:r>
                                  <w:r w:rsidRPr="00797404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Twitter justchad_cga)</w:t>
                                  </w:r>
                                </w:p>
                                <w:p w:rsidR="00044293" w:rsidRPr="00797404" w:rsidRDefault="00670EA6" w:rsidP="00DA4B02">
                                  <w:pPr>
                                    <w:spacing w:line="240" w:lineRule="auto"/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79740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Justin Chadwick 2 Jun</w:t>
                                  </w:r>
                                  <w:r w:rsidR="00797404" w:rsidRPr="0079740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i</w:t>
                                  </w:r>
                                  <w:r w:rsidRPr="0079740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e</w:t>
                                  </w:r>
                                  <w:r w:rsidR="00783644" w:rsidRPr="0079740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064F3C" w:rsidRPr="00797404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                  </w:t>
                  </w:r>
                  <w:r w:rsidR="00CF00EB" w:rsidRPr="00797404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  </w:t>
                  </w:r>
                  <w:r w:rsidRPr="00797404">
                    <w:rPr>
                      <w:noProof/>
                      <w:lang w:val="af-ZA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343025" cy="714375"/>
                        <wp:effectExtent l="0" t="0" r="9525" b="9525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C34BC" w:rsidRPr="00797404">
                    <w:rPr>
                      <w:rFonts w:ascii="Times New Roman" w:hAnsi="Times New Roman"/>
                      <w:sz w:val="24"/>
                      <w:szCs w:val="24"/>
                      <w:lang w:val="af-ZA"/>
                    </w:rPr>
                    <w:t xml:space="preserve"> </w:t>
                  </w:r>
                </w:p>
              </w:tc>
            </w:tr>
            <w:tr w:rsidR="00F553C7" w:rsidRPr="00797404" w:rsidTr="00B55DB5">
              <w:trPr>
                <w:trHeight w:val="50"/>
                <w:tblCellSpacing w:w="0" w:type="dxa"/>
              </w:trPr>
              <w:tc>
                <w:tcPr>
                  <w:tcW w:w="10708" w:type="dxa"/>
                  <w:vAlign w:val="center"/>
                  <w:hideMark/>
                </w:tcPr>
                <w:p w:rsidR="00F553C7" w:rsidRPr="00797404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  <w:lang w:val="af-ZA"/>
                    </w:rPr>
                  </w:pPr>
                </w:p>
              </w:tc>
            </w:tr>
          </w:tbl>
          <w:p w:rsidR="00C70360" w:rsidRDefault="00783644" w:rsidP="00225B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val="en-US"/>
              </w:rPr>
              <w:t>“</w:t>
            </w:r>
            <w:r w:rsidR="00225B4A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Beware of the man who works hard to learn something, learns it, and finds himself no wiser than before</w:t>
            </w:r>
            <w:r w:rsidR="0014636E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>...</w:t>
            </w:r>
            <w:r w:rsidR="00225B4A">
              <w:rPr>
                <w:rFonts w:ascii="Arial" w:eastAsia="Times New Roman" w:hAnsi="Arial" w:cs="Arial"/>
                <w:b/>
                <w:i/>
                <w:color w:val="181818"/>
                <w:sz w:val="20"/>
                <w:szCs w:val="20"/>
                <w:lang w:val="en-US"/>
              </w:rPr>
              <w:t xml:space="preserve"> He is full of murderous resentment of people who are ignorant without having come by their ignorance the hard way” Kurt Vonnegut</w:t>
            </w:r>
          </w:p>
          <w:p w:rsidR="00D34637" w:rsidRPr="00D34637" w:rsidRDefault="00D34637" w:rsidP="00D34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af-ZA"/>
              </w:rPr>
            </w:pPr>
            <w:r w:rsidRPr="00D346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af-ZA"/>
              </w:rPr>
              <w:t>WES-KAAP DESPERAAT VIR RE</w:t>
            </w:r>
            <w:r w:rsidR="00E14B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af-ZA"/>
              </w:rPr>
              <w:t>Ë</w:t>
            </w:r>
            <w:r w:rsidRPr="00D346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af-ZA"/>
              </w:rPr>
              <w:t>N </w:t>
            </w:r>
          </w:p>
          <w:p w:rsidR="00D34637" w:rsidRPr="00D34637" w:rsidRDefault="00D34637" w:rsidP="00D346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34637">
              <w:rPr>
                <w:rFonts w:ascii="Arial" w:eastAsia="Times New Roman" w:hAnsi="Arial" w:cs="Arial"/>
                <w:color w:val="000000"/>
                <w:sz w:val="20"/>
                <w:szCs w:val="20"/>
                <w:lang w:val="af-ZA"/>
              </w:rPr>
              <w:t>Inwoners van die Wes-Kaap staar ernstige waterbeperkings in die gesig soos damme leeg raak. Vir sitrusprodusente kan dit die vrugset van die 2018-oes beïnvloed (2017-oes nie dramaties beïnvloed omdat voldoende water gedurende verlede jaar se vrugset beskikbaar was). Bid asseblief vir spoedige winterreëns.</w:t>
            </w:r>
          </w:p>
          <w:p w:rsidR="00D34637" w:rsidRDefault="00D34637" w:rsidP="00D34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f-ZA"/>
              </w:rPr>
            </w:pPr>
            <w:r w:rsidRPr="00D346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af-ZA"/>
              </w:rPr>
              <w:t>COMRADES MARATHON</w:t>
            </w:r>
            <w:r w:rsidRPr="00D34637">
              <w:rPr>
                <w:rFonts w:ascii="Arial" w:eastAsia="Times New Roman" w:hAnsi="Arial" w:cs="Arial"/>
                <w:color w:val="000000"/>
                <w:sz w:val="20"/>
                <w:szCs w:val="20"/>
                <w:lang w:val="af-ZA"/>
              </w:rPr>
              <w:br/>
              <w:t>Sterkte aan almal wat die "intercity fun run" gaan hardloop - die Comrades-marathon; net sowat 90 km! Kan diegene van die sitrusfamilie wat gaan hardloop my laat weet hoe dit gegaan het.</w:t>
            </w:r>
          </w:p>
          <w:p w:rsidR="00FE6585" w:rsidRDefault="00BD5272" w:rsidP="00BD5272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u w:val="single"/>
                <w:shd w:val="clear" w:color="auto" w:fill="FFFFFF"/>
                <w:lang w:val="af-ZA"/>
              </w:rPr>
            </w:pPr>
            <w:r w:rsidRPr="00BD5272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u w:val="single"/>
                <w:shd w:val="clear" w:color="auto" w:fill="FFFFFF"/>
                <w:lang w:val="af-ZA"/>
              </w:rPr>
              <w:t>DIE "FRUIT INDUSTRY VALUE CHAIN ​​ROUND TABLE (FIVCRT)"</w:t>
            </w:r>
          </w:p>
          <w:p w:rsidR="00BD5272" w:rsidRDefault="00BD5272" w:rsidP="00FE658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Op Dinsdag hierdie week het die FIVCRT vir die 13de keer vergader - die FIVCRT bring verteenwoordigers van die georganiseerde vrugtebedryf, regering, arbeid en ander rolspelers saam om kwessies van gemeenskaplike belang te bespreek.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Hierdie vergadering was 'n oorsig van die aktiwiteite tot op datum - sedert die ontstaan sowat vier jaar gelede.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Toepaslik het die vergadering </w:t>
            </w:r>
            <w:r w:rsidR="00FE6585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met 'n minuut van stilte begin 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vir Billy Morokola, die mede-voorsitter wat vroeër vanjaar tragies oorlede is</w:t>
            </w:r>
            <w:r w:rsidR="00FE6585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.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Billy sal onthou word as 'n passievolle "driver" van die FIVCRT, hy sal gemis word.</w:t>
            </w:r>
          </w:p>
          <w:p w:rsidR="00BD5272" w:rsidRDefault="00BD5272" w:rsidP="00FE658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Die FIVCRT het ses werksgroepe - en elkeen het terugvoering tot op datum gegee.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Die ses werksgroepe dek handel, indiensneming en werkerswelsyn, navorsing en tegnies, hulpbronne, transformasie en plaaslike mark.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br/>
              <w:t>As voorsitter van die Handelswerkgroep (TWG) was dit my verantwoordelikheid om die verslag te lewer.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Die samestelling van die handelswerkgroep het ontwikkel namate die besigheid van die groep ontvou het. Bedryf word verteenwoordig deur CGA, HORTGRO, SATI, SUBTROP, FPEF en Fruit SA.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Staatsbelanghebbendes sluit DTI, DAFF en DIRCO in.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Staatsagentskappe sluit PPECB en NAMC in, terwyl ondersteuningsdienste deur BFAP en Agbiz verteenwoordig word.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Arbeid word deur FAWU verteenwwordig.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Ook genooi is verteenwoordiging van die Wyn- en Brandewyn-round table aangesien daar baie ooreenkomste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in ons werk is.</w:t>
            </w:r>
          </w:p>
          <w:p w:rsidR="00BD5272" w:rsidRDefault="00BD5272" w:rsidP="00FE658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Alle lede is verbind tot die werk van die TWG en die bywoning is goed.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In beide 2015 en 2016 het die TWG vier vergaderings gehou.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Twee werkswinkels is gehou - in 2016 het 'n werkswinkel die prioriteite in terme van teikenmarkte, geleenthede en uitdagings uitgepluis.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In 2017 is 'n werkswinkel gehou om na Afrika-markgeleenthede en -uitdagings te kyk.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Hierdie werkswinkels help om die aktiwiteite van die TWG te lei.</w:t>
            </w:r>
          </w:p>
          <w:p w:rsidR="00BD5272" w:rsidRDefault="00BD5272" w:rsidP="00BD5272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'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n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Belangrike item in die TWG se opdrag is om verhoudings en kommunikasie tussen bedryf, regering en arbeid te verbeter.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Daar was aansienlike vooruitgang in hierdie verband;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'n protokol / reëls van betrokkenheid ten opsigte van oorsese afvaardigings is ontwikkel en onderteken (tussen DAFF en FSA), asook 'n sekonderingsooreenkoms.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Daar was vergaderings om te verseker dat daar geen duplisering tussen die werk van die TWG en ander handelsplatforms bestaan ​​nie.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Die HUB van FSA is nou deel van die Bestuurskomitee van die HUB se Forum - 'n sleutelposisie in kommunikasie tussen die bedryf en DAFF.</w:t>
            </w:r>
            <w:r w:rsidRPr="00BD5272">
              <w:rPr>
                <w:rStyle w:val="apple-converted-space"/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D5272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val="af-ZA"/>
              </w:rPr>
              <w:t>Meer inligting oor die vordering van die FIVCRT sal in latere nuusbriewe volg.</w:t>
            </w:r>
          </w:p>
          <w:p w:rsidR="000720F7" w:rsidRPr="000720F7" w:rsidRDefault="00BD5272" w:rsidP="00BD52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color w:val="FF0000"/>
                <w:u w:val="single"/>
                <w:shd w:val="clear" w:color="auto" w:fill="FFFFFF"/>
                <w:lang w:val="af-ZA"/>
              </w:rPr>
            </w:pPr>
            <w:bookmarkStart w:id="0" w:name="_GoBack"/>
            <w:bookmarkEnd w:id="0"/>
            <w:r w:rsidRPr="000720F7">
              <w:rPr>
                <w:rFonts w:ascii="Arial" w:hAnsi="Arial" w:cs="Arial"/>
                <w:b/>
                <w:bCs/>
                <w:noProof/>
                <w:color w:val="FF0000"/>
                <w:u w:val="single"/>
                <w:shd w:val="clear" w:color="auto" w:fill="FFFFFF"/>
                <w:lang w:val="af-ZA"/>
              </w:rPr>
              <w:t>GEPAK EN VERSKEEP</w:t>
            </w:r>
          </w:p>
          <w:p w:rsidR="000720F7" w:rsidRDefault="00BD5272" w:rsidP="00BD5272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hd w:val="clear" w:color="auto" w:fill="FFFFFF"/>
                <w:lang w:val="af-ZA"/>
              </w:rPr>
            </w:pPr>
            <w:r w:rsidRPr="000720F7">
              <w:rPr>
                <w:rFonts w:ascii="Arial" w:hAnsi="Arial" w:cs="Arial"/>
                <w:noProof/>
                <w:color w:val="000000"/>
                <w:shd w:val="clear" w:color="auto" w:fill="FFFFFF"/>
                <w:lang w:val="af-ZA"/>
              </w:rPr>
              <w:t>Die Pomelo-fokusgroep het hierdie week vergader en hul voorspelling effens opwaarts aangepas - alles afhanklik van die</w:t>
            </w:r>
            <w:r w:rsidRPr="000720F7">
              <w:rPr>
                <w:rStyle w:val="apple-converted-space"/>
                <w:rFonts w:ascii="Arial" w:hAnsi="Arial" w:cs="Arial"/>
                <w:noProof/>
                <w:color w:val="000000"/>
                <w:shd w:val="clear" w:color="auto" w:fill="FFFFFF"/>
                <w:lang w:val="af-ZA"/>
              </w:rPr>
              <w:t> </w:t>
            </w:r>
            <w:r w:rsidRPr="000720F7">
              <w:rPr>
                <w:rFonts w:ascii="Arial" w:hAnsi="Arial" w:cs="Arial"/>
                <w:noProof/>
                <w:color w:val="000000"/>
                <w:shd w:val="clear" w:color="auto" w:fill="FFFFFF"/>
                <w:lang w:val="af-ZA"/>
              </w:rPr>
              <w:t>kwaliteit van die vrugte, aangesien produsente probeer om vrugte langer te laat hang en die seisoen te versprei.</w:t>
            </w:r>
          </w:p>
          <w:p w:rsidR="00BD5272" w:rsidRPr="00D34637" w:rsidRDefault="00BD5272" w:rsidP="00BD5272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/>
              </w:rPr>
            </w:pPr>
            <w:r w:rsidRPr="000720F7">
              <w:rPr>
                <w:rFonts w:ascii="Arial" w:hAnsi="Arial" w:cs="Arial"/>
                <w:noProof/>
                <w:color w:val="000000"/>
                <w:shd w:val="clear" w:color="auto" w:fill="FFFFFF"/>
                <w:lang w:val="af-ZA"/>
              </w:rPr>
              <w:t>Dit is 1 Junie en 20% van die vrugte is in bokse - 'n besoek aan FPT Durban gister was 'n ervaring: die fasiliteit is 97% vol en almal werk hard om voertuie af te laai, vrugte te inspekteer, vrugte te stoor en die mees belangrikste om plek te maak vir inkomende vragte.</w:t>
            </w:r>
          </w:p>
          <w:p w:rsidR="00BD5272" w:rsidRDefault="00BD5272" w:rsidP="00461A4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10297" w:rsidRPr="00110297" w:rsidRDefault="00110297" w:rsidP="00461A4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tbl>
            <w:tblPr>
              <w:tblpPr w:leftFromText="180" w:rightFromText="180" w:vertAnchor="text" w:horzAnchor="margin" w:tblpY="162"/>
              <w:tblOverlap w:val="never"/>
              <w:tblW w:w="106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1170"/>
              <w:gridCol w:w="900"/>
              <w:gridCol w:w="990"/>
              <w:gridCol w:w="1080"/>
              <w:gridCol w:w="1170"/>
              <w:gridCol w:w="1350"/>
              <w:gridCol w:w="1350"/>
              <w:gridCol w:w="893"/>
            </w:tblGrid>
            <w:tr w:rsidR="00E71400" w:rsidRPr="00B55DB5" w:rsidTr="00B55DB5">
              <w:trPr>
                <w:trHeight w:val="401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4F63" w:rsidRPr="00B55DB5" w:rsidRDefault="00284F63" w:rsidP="00284F63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bookmarkStart w:id="1" w:name="OLE_LINK1"/>
                  <w:bookmarkStart w:id="2" w:name="OLE_LINK2"/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To</w:t>
                  </w:r>
                  <w:r w:rsidR="000720F7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t</w:t>
                  </w: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 xml:space="preserve"> E</w:t>
                  </w:r>
                  <w:r w:rsidR="000720F7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i</w:t>
                  </w: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nd</w:t>
                  </w:r>
                  <w:r w:rsidR="000720F7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e</w:t>
                  </w: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 xml:space="preserve"> Week </w:t>
                  </w:r>
                  <w:r w:rsidR="007C704C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21</w:t>
                  </w:r>
                </w:p>
                <w:p w:rsidR="00284F63" w:rsidRPr="00B55DB5" w:rsidRDefault="000720F7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Miljoen 15 Kg Kartonne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284F63" w:rsidRPr="00B55DB5" w:rsidRDefault="000720F7" w:rsidP="00284F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Gepak</w:t>
                  </w:r>
                  <w:r w:rsidR="00284F63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0720F7" w:rsidP="00284F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E71400" w:rsidP="00284F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Gepak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E71400" w:rsidP="00284F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Verskeep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E71400" w:rsidP="00284F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Verskeep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E6E6E6"/>
                </w:tcPr>
                <w:p w:rsidR="00284F63" w:rsidRPr="00B55DB5" w:rsidRDefault="00E71400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Aanvanklike Skatting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shd w:val="clear" w:color="auto" w:fill="E6E6E6"/>
                </w:tcPr>
                <w:p w:rsidR="00284F63" w:rsidRPr="00B55DB5" w:rsidRDefault="00E71400" w:rsidP="00E71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Nuutste Voorspelling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E714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Fin</w:t>
                  </w:r>
                  <w:r w:rsidR="00E71400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a</w:t>
                  </w: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 xml:space="preserve">al </w:t>
                  </w:r>
                  <w:r w:rsidR="00E71400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Gepak</w:t>
                  </w:r>
                </w:p>
              </w:tc>
            </w:tr>
            <w:tr w:rsidR="00E71400" w:rsidRPr="00B55DB5" w:rsidTr="00B55DB5">
              <w:trPr>
                <w:trHeight w:val="200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284F63" w:rsidRPr="00B55DB5" w:rsidRDefault="000720F7" w:rsidP="00284F63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BRON</w:t>
                  </w:r>
                  <w:r w:rsidR="00284F63"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: PPECB/Agrihub</w:t>
                  </w:r>
                </w:p>
              </w:tc>
              <w:tc>
                <w:tcPr>
                  <w:tcW w:w="1170" w:type="dxa"/>
                  <w:shd w:val="clear" w:color="auto" w:fill="CCCCCC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2015</w:t>
                  </w:r>
                </w:p>
              </w:tc>
              <w:tc>
                <w:tcPr>
                  <w:tcW w:w="90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2016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2016</w:t>
                  </w:r>
                </w:p>
              </w:tc>
              <w:tc>
                <w:tcPr>
                  <w:tcW w:w="117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2017</w:t>
                  </w:r>
                </w:p>
              </w:tc>
              <w:tc>
                <w:tcPr>
                  <w:tcW w:w="135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2017</w:t>
                  </w:r>
                </w:p>
              </w:tc>
              <w:tc>
                <w:tcPr>
                  <w:tcW w:w="1350" w:type="dxa"/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2017</w:t>
                  </w: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2016</w:t>
                  </w:r>
                </w:p>
              </w:tc>
            </w:tr>
            <w:tr w:rsidR="00E71400" w:rsidRPr="00B55DB5" w:rsidTr="00B55DB5">
              <w:trPr>
                <w:trHeight w:val="214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284F63" w:rsidRPr="00B55DB5" w:rsidRDefault="000720F7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Pomelo</w:t>
                  </w:r>
                </w:p>
              </w:tc>
              <w:tc>
                <w:tcPr>
                  <w:tcW w:w="1170" w:type="dxa"/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7.6 m</w:t>
                  </w:r>
                </w:p>
              </w:tc>
              <w:tc>
                <w:tcPr>
                  <w:tcW w:w="90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5.8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8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3.7 m</w:t>
                  </w:r>
                </w:p>
              </w:tc>
              <w:tc>
                <w:tcPr>
                  <w:tcW w:w="117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4.9 m</w:t>
                  </w:r>
                </w:p>
              </w:tc>
              <w:tc>
                <w:tcPr>
                  <w:tcW w:w="135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15.6 m</w:t>
                  </w:r>
                </w:p>
              </w:tc>
              <w:tc>
                <w:tcPr>
                  <w:tcW w:w="1350" w:type="dxa"/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15.3 m</w:t>
                  </w: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13.2 m</w:t>
                  </w:r>
                </w:p>
              </w:tc>
            </w:tr>
            <w:tr w:rsidR="00E71400" w:rsidRPr="00B55DB5" w:rsidTr="00B55DB5">
              <w:trPr>
                <w:trHeight w:val="200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284F63" w:rsidRPr="00B55DB5" w:rsidRDefault="00284F63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S</w:t>
                  </w:r>
                  <w:r w:rsidR="000720F7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agte Sitrus</w:t>
                  </w:r>
                </w:p>
              </w:tc>
              <w:tc>
                <w:tcPr>
                  <w:tcW w:w="1170" w:type="dxa"/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4 m</w:t>
                  </w:r>
                </w:p>
              </w:tc>
              <w:tc>
                <w:tcPr>
                  <w:tcW w:w="90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5.3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4.4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4.1 m</w:t>
                  </w:r>
                </w:p>
              </w:tc>
              <w:tc>
                <w:tcPr>
                  <w:tcW w:w="117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3.2 m</w:t>
                  </w:r>
                </w:p>
              </w:tc>
              <w:tc>
                <w:tcPr>
                  <w:tcW w:w="135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13.2 m</w:t>
                  </w:r>
                </w:p>
              </w:tc>
              <w:tc>
                <w:tcPr>
                  <w:tcW w:w="1350" w:type="dxa"/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13.5 m</w:t>
                  </w: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12.2 m</w:t>
                  </w:r>
                </w:p>
              </w:tc>
            </w:tr>
            <w:tr w:rsidR="00E71400" w:rsidRPr="00B55DB5" w:rsidTr="00B55DB5">
              <w:trPr>
                <w:trHeight w:val="180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284F63" w:rsidRPr="00B55DB5" w:rsidRDefault="000720F7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Suurlemoene</w:t>
                  </w:r>
                </w:p>
              </w:tc>
              <w:tc>
                <w:tcPr>
                  <w:tcW w:w="1170" w:type="dxa"/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6.3 m</w:t>
                  </w:r>
                </w:p>
              </w:tc>
              <w:tc>
                <w:tcPr>
                  <w:tcW w:w="90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7.1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8.2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6.1 m</w:t>
                  </w:r>
                </w:p>
              </w:tc>
              <w:tc>
                <w:tcPr>
                  <w:tcW w:w="117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6.3 m</w:t>
                  </w:r>
                </w:p>
              </w:tc>
              <w:tc>
                <w:tcPr>
                  <w:tcW w:w="135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17.5 m</w:t>
                  </w:r>
                </w:p>
              </w:tc>
              <w:tc>
                <w:tcPr>
                  <w:tcW w:w="1350" w:type="dxa"/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17.5 m</w:t>
                  </w: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15 m</w:t>
                  </w:r>
                </w:p>
              </w:tc>
            </w:tr>
            <w:tr w:rsidR="00E71400" w:rsidRPr="00B55DB5" w:rsidTr="00B55DB5">
              <w:trPr>
                <w:trHeight w:val="200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284F63" w:rsidRPr="00B55DB5" w:rsidRDefault="000720F7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Naw</w:t>
                  </w:r>
                  <w:r w:rsidR="00284F63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els</w:t>
                  </w:r>
                </w:p>
              </w:tc>
              <w:tc>
                <w:tcPr>
                  <w:tcW w:w="1170" w:type="dxa"/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4.1 m</w:t>
                  </w:r>
                </w:p>
              </w:tc>
              <w:tc>
                <w:tcPr>
                  <w:tcW w:w="90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6.3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4.3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3.7 m</w:t>
                  </w:r>
                </w:p>
              </w:tc>
              <w:tc>
                <w:tcPr>
                  <w:tcW w:w="117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2.1 m</w:t>
                  </w:r>
                </w:p>
              </w:tc>
              <w:tc>
                <w:tcPr>
                  <w:tcW w:w="135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26.3 m</w:t>
                  </w:r>
                </w:p>
              </w:tc>
              <w:tc>
                <w:tcPr>
                  <w:tcW w:w="1350" w:type="dxa"/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22.9 m</w:t>
                  </w: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26.2 m</w:t>
                  </w:r>
                </w:p>
              </w:tc>
            </w:tr>
            <w:tr w:rsidR="00E71400" w:rsidRPr="00B55DB5" w:rsidTr="00B55DB5">
              <w:trPr>
                <w:trHeight w:val="245"/>
              </w:trPr>
              <w:tc>
                <w:tcPr>
                  <w:tcW w:w="1795" w:type="dxa"/>
                  <w:tcBorders>
                    <w:left w:val="single" w:sz="4" w:space="0" w:color="auto"/>
                  </w:tcBorders>
                </w:tcPr>
                <w:p w:rsidR="00284F63" w:rsidRPr="00B55DB5" w:rsidRDefault="00284F63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Valencia</w:t>
                  </w:r>
                </w:p>
              </w:tc>
              <w:tc>
                <w:tcPr>
                  <w:tcW w:w="1170" w:type="dxa"/>
                  <w:shd w:val="clear" w:color="auto" w:fill="CCCCCC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0.1 m</w:t>
                  </w:r>
                </w:p>
              </w:tc>
              <w:tc>
                <w:tcPr>
                  <w:tcW w:w="90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0.2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0.4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-</w:t>
                  </w:r>
                </w:p>
              </w:tc>
              <w:tc>
                <w:tcPr>
                  <w:tcW w:w="135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50.1 m</w:t>
                  </w:r>
                </w:p>
              </w:tc>
              <w:tc>
                <w:tcPr>
                  <w:tcW w:w="1350" w:type="dxa"/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49.4 m</w:t>
                  </w:r>
                </w:p>
              </w:tc>
              <w:tc>
                <w:tcPr>
                  <w:tcW w:w="893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41.8 m</w:t>
                  </w:r>
                </w:p>
              </w:tc>
            </w:tr>
            <w:tr w:rsidR="00E71400" w:rsidRPr="00B55DB5" w:rsidTr="00B55DB5">
              <w:trPr>
                <w:trHeight w:val="214"/>
              </w:trPr>
              <w:tc>
                <w:tcPr>
                  <w:tcW w:w="17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4F63" w:rsidRPr="00B55DB5" w:rsidRDefault="00284F63" w:rsidP="00284F6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Tota</w:t>
                  </w:r>
                  <w:r w:rsidR="000720F7"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a</w:t>
                  </w: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l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22.1 m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24.7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25.3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17.6 m</w:t>
                  </w:r>
                </w:p>
              </w:tc>
              <w:tc>
                <w:tcPr>
                  <w:tcW w:w="117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b/>
                      <w:noProof/>
                      <w:sz w:val="18"/>
                      <w:szCs w:val="20"/>
                      <w:lang w:val="af-ZA"/>
                    </w:rPr>
                    <w:t>16.5 m</w:t>
                  </w:r>
                </w:p>
              </w:tc>
              <w:tc>
                <w:tcPr>
                  <w:tcW w:w="1350" w:type="dxa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122.7 m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284F63" w:rsidRPr="00B55DB5" w:rsidRDefault="007C704C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118.6 m</w:t>
                  </w:r>
                </w:p>
              </w:tc>
              <w:tc>
                <w:tcPr>
                  <w:tcW w:w="8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84F63" w:rsidRPr="00B55DB5" w:rsidRDefault="00284F63" w:rsidP="00284F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</w:pPr>
                  <w:r w:rsidRPr="00B55DB5">
                    <w:rPr>
                      <w:rFonts w:ascii="Arial" w:hAnsi="Arial" w:cs="Arial"/>
                      <w:noProof/>
                      <w:sz w:val="18"/>
                      <w:szCs w:val="20"/>
                      <w:lang w:val="af-ZA"/>
                    </w:rPr>
                    <w:t>108.4 m</w:t>
                  </w:r>
                </w:p>
              </w:tc>
            </w:tr>
            <w:bookmarkEnd w:id="1"/>
            <w:bookmarkEnd w:id="2"/>
          </w:tbl>
          <w:p w:rsidR="00101314" w:rsidRPr="004464AB" w:rsidRDefault="00101314" w:rsidP="001C6370">
            <w:pPr>
              <w:spacing w:after="0"/>
              <w:rPr>
                <w:rFonts w:ascii="Berlin Sans FB Demi" w:hAnsi="Berlin Sans FB Demi" w:cs="Arial"/>
                <w:color w:val="FF0000"/>
              </w:rPr>
            </w:pPr>
          </w:p>
        </w:tc>
      </w:tr>
      <w:tr w:rsidR="00F553C7" w:rsidRPr="00901D81" w:rsidTr="00B55DB5">
        <w:tblPrEx>
          <w:tblCellMar>
            <w:left w:w="15" w:type="dxa"/>
            <w:right w:w="15" w:type="dxa"/>
          </w:tblCellMar>
        </w:tblPrEx>
        <w:trPr>
          <w:trHeight w:val="97"/>
          <w:tblCellSpacing w:w="0" w:type="dxa"/>
        </w:trPr>
        <w:tc>
          <w:tcPr>
            <w:tcW w:w="10925" w:type="dxa"/>
            <w:shd w:val="clear" w:color="auto" w:fill="auto"/>
            <w:vAlign w:val="center"/>
          </w:tcPr>
          <w:p w:rsidR="00F553C7" w:rsidRPr="00901D81" w:rsidRDefault="00F553C7" w:rsidP="00E33132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4"/>
                <w:szCs w:val="4"/>
                <w:u w:val="single"/>
                <w:lang w:val="en-GB"/>
              </w:rPr>
            </w:pPr>
          </w:p>
        </w:tc>
      </w:tr>
      <w:tr w:rsidR="001E5068" w:rsidRPr="00901D81" w:rsidTr="00B55DB5">
        <w:tblPrEx>
          <w:tblCellMar>
            <w:left w:w="15" w:type="dxa"/>
            <w:right w:w="15" w:type="dxa"/>
          </w:tblCellMar>
        </w:tblPrEx>
        <w:trPr>
          <w:trHeight w:val="48"/>
          <w:tblCellSpacing w:w="0" w:type="dxa"/>
        </w:trPr>
        <w:tc>
          <w:tcPr>
            <w:tcW w:w="10925" w:type="dxa"/>
            <w:shd w:val="clear" w:color="auto" w:fill="auto"/>
            <w:vAlign w:val="center"/>
          </w:tcPr>
          <w:p w:rsidR="00DE415C" w:rsidRPr="00901D81" w:rsidRDefault="00DE415C" w:rsidP="00E33132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4"/>
                <w:szCs w:val="4"/>
                <w:u w:val="single"/>
                <w:lang w:val="en-GB"/>
              </w:rPr>
            </w:pPr>
          </w:p>
        </w:tc>
      </w:tr>
    </w:tbl>
    <w:p w:rsidR="00F553C7" w:rsidRPr="003363E1" w:rsidRDefault="00F553C7" w:rsidP="00632F9E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5.1pt;height:120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3635"/>
    <w:rsid w:val="0001467F"/>
    <w:rsid w:val="00015287"/>
    <w:rsid w:val="0002011F"/>
    <w:rsid w:val="00020EDE"/>
    <w:rsid w:val="000210DD"/>
    <w:rsid w:val="00023D6B"/>
    <w:rsid w:val="0002435D"/>
    <w:rsid w:val="00025661"/>
    <w:rsid w:val="00026A5C"/>
    <w:rsid w:val="00026FBF"/>
    <w:rsid w:val="00027058"/>
    <w:rsid w:val="000275FD"/>
    <w:rsid w:val="00027985"/>
    <w:rsid w:val="00027A9A"/>
    <w:rsid w:val="00030866"/>
    <w:rsid w:val="00031346"/>
    <w:rsid w:val="000313D3"/>
    <w:rsid w:val="00031FA5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AC2"/>
    <w:rsid w:val="00055AD9"/>
    <w:rsid w:val="00061C0E"/>
    <w:rsid w:val="00064F3C"/>
    <w:rsid w:val="0006507E"/>
    <w:rsid w:val="00065BD7"/>
    <w:rsid w:val="00065D8C"/>
    <w:rsid w:val="0006671B"/>
    <w:rsid w:val="000703F0"/>
    <w:rsid w:val="000720F7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ADF"/>
    <w:rsid w:val="00086F72"/>
    <w:rsid w:val="00087D3B"/>
    <w:rsid w:val="0009043B"/>
    <w:rsid w:val="000909F7"/>
    <w:rsid w:val="00091CB1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624D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297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6F40"/>
    <w:rsid w:val="0013042A"/>
    <w:rsid w:val="00133C4C"/>
    <w:rsid w:val="00136086"/>
    <w:rsid w:val="00137CA3"/>
    <w:rsid w:val="00141341"/>
    <w:rsid w:val="0014205A"/>
    <w:rsid w:val="0014246F"/>
    <w:rsid w:val="00143791"/>
    <w:rsid w:val="00144F09"/>
    <w:rsid w:val="00145B65"/>
    <w:rsid w:val="00145E2A"/>
    <w:rsid w:val="00145E7F"/>
    <w:rsid w:val="0014636E"/>
    <w:rsid w:val="00147D0D"/>
    <w:rsid w:val="00156F99"/>
    <w:rsid w:val="0015724E"/>
    <w:rsid w:val="00160F4C"/>
    <w:rsid w:val="0016126F"/>
    <w:rsid w:val="00162A6B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F13"/>
    <w:rsid w:val="00174428"/>
    <w:rsid w:val="001761DB"/>
    <w:rsid w:val="001765D0"/>
    <w:rsid w:val="00177220"/>
    <w:rsid w:val="00177C02"/>
    <w:rsid w:val="00180F2C"/>
    <w:rsid w:val="00182B28"/>
    <w:rsid w:val="0018317A"/>
    <w:rsid w:val="00183953"/>
    <w:rsid w:val="00184B30"/>
    <w:rsid w:val="001852B7"/>
    <w:rsid w:val="00187890"/>
    <w:rsid w:val="00187C7E"/>
    <w:rsid w:val="001901B2"/>
    <w:rsid w:val="00192CD1"/>
    <w:rsid w:val="001939DC"/>
    <w:rsid w:val="00197087"/>
    <w:rsid w:val="001A1101"/>
    <w:rsid w:val="001A270A"/>
    <w:rsid w:val="001A5843"/>
    <w:rsid w:val="001A5B66"/>
    <w:rsid w:val="001A62C0"/>
    <w:rsid w:val="001A6975"/>
    <w:rsid w:val="001B05D7"/>
    <w:rsid w:val="001B0DCA"/>
    <w:rsid w:val="001B1018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6370"/>
    <w:rsid w:val="001C6479"/>
    <w:rsid w:val="001C6D37"/>
    <w:rsid w:val="001C7BEA"/>
    <w:rsid w:val="001D0F40"/>
    <w:rsid w:val="001D1261"/>
    <w:rsid w:val="001D262E"/>
    <w:rsid w:val="001D2F0C"/>
    <w:rsid w:val="001D35A6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1F6838"/>
    <w:rsid w:val="00201013"/>
    <w:rsid w:val="002041ED"/>
    <w:rsid w:val="00204F68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5B4A"/>
    <w:rsid w:val="0022759B"/>
    <w:rsid w:val="00227BE4"/>
    <w:rsid w:val="00230E5C"/>
    <w:rsid w:val="002313E2"/>
    <w:rsid w:val="00234F7F"/>
    <w:rsid w:val="00235067"/>
    <w:rsid w:val="00235980"/>
    <w:rsid w:val="00235DAB"/>
    <w:rsid w:val="00236523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A70"/>
    <w:rsid w:val="00252262"/>
    <w:rsid w:val="00252413"/>
    <w:rsid w:val="0025294B"/>
    <w:rsid w:val="002529F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D43"/>
    <w:rsid w:val="00265FE6"/>
    <w:rsid w:val="0026628C"/>
    <w:rsid w:val="002672B3"/>
    <w:rsid w:val="00267874"/>
    <w:rsid w:val="00270588"/>
    <w:rsid w:val="002714CE"/>
    <w:rsid w:val="00271877"/>
    <w:rsid w:val="00276C09"/>
    <w:rsid w:val="00276D64"/>
    <w:rsid w:val="00276E4C"/>
    <w:rsid w:val="00277896"/>
    <w:rsid w:val="0028059D"/>
    <w:rsid w:val="00280A81"/>
    <w:rsid w:val="00280C6C"/>
    <w:rsid w:val="00281421"/>
    <w:rsid w:val="002816D3"/>
    <w:rsid w:val="00281F2F"/>
    <w:rsid w:val="002820BF"/>
    <w:rsid w:val="002821B3"/>
    <w:rsid w:val="00282E59"/>
    <w:rsid w:val="002849FB"/>
    <w:rsid w:val="00284F63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D2D32"/>
    <w:rsid w:val="002D2D4B"/>
    <w:rsid w:val="002D328A"/>
    <w:rsid w:val="002D39FE"/>
    <w:rsid w:val="002D5CFA"/>
    <w:rsid w:val="002D6368"/>
    <w:rsid w:val="002E01E8"/>
    <w:rsid w:val="002E2228"/>
    <w:rsid w:val="002E2EC0"/>
    <w:rsid w:val="002E3B72"/>
    <w:rsid w:val="002E4391"/>
    <w:rsid w:val="002E44E2"/>
    <w:rsid w:val="002F0446"/>
    <w:rsid w:val="002F04FF"/>
    <w:rsid w:val="002F0EB8"/>
    <w:rsid w:val="002F13BD"/>
    <w:rsid w:val="002F29CA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1104"/>
    <w:rsid w:val="003222EF"/>
    <w:rsid w:val="00322563"/>
    <w:rsid w:val="00323169"/>
    <w:rsid w:val="00323627"/>
    <w:rsid w:val="00330E6A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507EC"/>
    <w:rsid w:val="00350C59"/>
    <w:rsid w:val="0035159A"/>
    <w:rsid w:val="00352180"/>
    <w:rsid w:val="00352763"/>
    <w:rsid w:val="0035437A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2AE3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2FD8"/>
    <w:rsid w:val="003940CA"/>
    <w:rsid w:val="003961D5"/>
    <w:rsid w:val="003A02EE"/>
    <w:rsid w:val="003A0696"/>
    <w:rsid w:val="003A08A6"/>
    <w:rsid w:val="003A08AC"/>
    <w:rsid w:val="003A0C6B"/>
    <w:rsid w:val="003A23B3"/>
    <w:rsid w:val="003A2841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2597"/>
    <w:rsid w:val="003C2958"/>
    <w:rsid w:val="003C30EB"/>
    <w:rsid w:val="003C34BC"/>
    <w:rsid w:val="003C3548"/>
    <w:rsid w:val="003C3E09"/>
    <w:rsid w:val="003C720A"/>
    <w:rsid w:val="003D0D11"/>
    <w:rsid w:val="003D1716"/>
    <w:rsid w:val="003D4C32"/>
    <w:rsid w:val="003D506B"/>
    <w:rsid w:val="003D521D"/>
    <w:rsid w:val="003D53FD"/>
    <w:rsid w:val="003D5E73"/>
    <w:rsid w:val="003D5FAB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7BFF"/>
    <w:rsid w:val="00407FFE"/>
    <w:rsid w:val="004102D5"/>
    <w:rsid w:val="00410898"/>
    <w:rsid w:val="00410E91"/>
    <w:rsid w:val="004115FA"/>
    <w:rsid w:val="00411B12"/>
    <w:rsid w:val="00411CA4"/>
    <w:rsid w:val="00411CAE"/>
    <w:rsid w:val="00411FB6"/>
    <w:rsid w:val="00412416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64AB"/>
    <w:rsid w:val="00447271"/>
    <w:rsid w:val="00450A05"/>
    <w:rsid w:val="00450A62"/>
    <w:rsid w:val="00450EF6"/>
    <w:rsid w:val="004524CA"/>
    <w:rsid w:val="004531D2"/>
    <w:rsid w:val="00453F83"/>
    <w:rsid w:val="00455759"/>
    <w:rsid w:val="00455A25"/>
    <w:rsid w:val="0045747D"/>
    <w:rsid w:val="00457BA7"/>
    <w:rsid w:val="00461A43"/>
    <w:rsid w:val="00461D38"/>
    <w:rsid w:val="00462E78"/>
    <w:rsid w:val="00462F4F"/>
    <w:rsid w:val="004655CE"/>
    <w:rsid w:val="00467B81"/>
    <w:rsid w:val="00467C1A"/>
    <w:rsid w:val="00467DE0"/>
    <w:rsid w:val="00467E83"/>
    <w:rsid w:val="00470ECD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A1D00"/>
    <w:rsid w:val="004A7885"/>
    <w:rsid w:val="004B0552"/>
    <w:rsid w:val="004B1564"/>
    <w:rsid w:val="004B2470"/>
    <w:rsid w:val="004B2EF3"/>
    <w:rsid w:val="004B3710"/>
    <w:rsid w:val="004B4260"/>
    <w:rsid w:val="004B488D"/>
    <w:rsid w:val="004B71B1"/>
    <w:rsid w:val="004C0057"/>
    <w:rsid w:val="004C0A9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BE2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C72"/>
    <w:rsid w:val="00511E76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356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40EFB"/>
    <w:rsid w:val="00543E65"/>
    <w:rsid w:val="00544D65"/>
    <w:rsid w:val="00546E19"/>
    <w:rsid w:val="00546F69"/>
    <w:rsid w:val="00550CCC"/>
    <w:rsid w:val="00555B8C"/>
    <w:rsid w:val="00556180"/>
    <w:rsid w:val="0055794F"/>
    <w:rsid w:val="00557A0A"/>
    <w:rsid w:val="00561449"/>
    <w:rsid w:val="00562C0C"/>
    <w:rsid w:val="005633CD"/>
    <w:rsid w:val="00563EB7"/>
    <w:rsid w:val="0056559D"/>
    <w:rsid w:val="0056632E"/>
    <w:rsid w:val="00567676"/>
    <w:rsid w:val="005708C9"/>
    <w:rsid w:val="00571440"/>
    <w:rsid w:val="00573262"/>
    <w:rsid w:val="0057327F"/>
    <w:rsid w:val="005741F2"/>
    <w:rsid w:val="005744D0"/>
    <w:rsid w:val="005751A6"/>
    <w:rsid w:val="00576246"/>
    <w:rsid w:val="005779FB"/>
    <w:rsid w:val="00580425"/>
    <w:rsid w:val="00580B8E"/>
    <w:rsid w:val="005813E1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B70"/>
    <w:rsid w:val="005A4885"/>
    <w:rsid w:val="005A62C4"/>
    <w:rsid w:val="005A6DB0"/>
    <w:rsid w:val="005B0FE6"/>
    <w:rsid w:val="005B1005"/>
    <w:rsid w:val="005B2500"/>
    <w:rsid w:val="005B41F5"/>
    <w:rsid w:val="005B5B44"/>
    <w:rsid w:val="005B6678"/>
    <w:rsid w:val="005B6EED"/>
    <w:rsid w:val="005C0E8C"/>
    <w:rsid w:val="005C0EC3"/>
    <w:rsid w:val="005C31D1"/>
    <w:rsid w:val="005C355C"/>
    <w:rsid w:val="005C4FF3"/>
    <w:rsid w:val="005C7421"/>
    <w:rsid w:val="005C75F4"/>
    <w:rsid w:val="005D02C2"/>
    <w:rsid w:val="005D0340"/>
    <w:rsid w:val="005D128B"/>
    <w:rsid w:val="005D3EF1"/>
    <w:rsid w:val="005D42AA"/>
    <w:rsid w:val="005D4A2D"/>
    <w:rsid w:val="005D5C77"/>
    <w:rsid w:val="005D67DA"/>
    <w:rsid w:val="005E098C"/>
    <w:rsid w:val="005E0D57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1B35"/>
    <w:rsid w:val="0060446A"/>
    <w:rsid w:val="00605D19"/>
    <w:rsid w:val="0060606F"/>
    <w:rsid w:val="00607ACB"/>
    <w:rsid w:val="00607DA4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30C1C"/>
    <w:rsid w:val="00630F97"/>
    <w:rsid w:val="006316C8"/>
    <w:rsid w:val="00631D72"/>
    <w:rsid w:val="00632F9E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12AE"/>
    <w:rsid w:val="006517AA"/>
    <w:rsid w:val="00654C25"/>
    <w:rsid w:val="00655390"/>
    <w:rsid w:val="00656987"/>
    <w:rsid w:val="00656D81"/>
    <w:rsid w:val="00661237"/>
    <w:rsid w:val="00662813"/>
    <w:rsid w:val="00662CA2"/>
    <w:rsid w:val="00663C7D"/>
    <w:rsid w:val="00663E50"/>
    <w:rsid w:val="00664F33"/>
    <w:rsid w:val="00666FB9"/>
    <w:rsid w:val="00670BBB"/>
    <w:rsid w:val="00670EA6"/>
    <w:rsid w:val="006712D0"/>
    <w:rsid w:val="006735FB"/>
    <w:rsid w:val="00675175"/>
    <w:rsid w:val="00676809"/>
    <w:rsid w:val="006770E2"/>
    <w:rsid w:val="006773FB"/>
    <w:rsid w:val="00681B1A"/>
    <w:rsid w:val="006827D6"/>
    <w:rsid w:val="00683259"/>
    <w:rsid w:val="00683A85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A0C13"/>
    <w:rsid w:val="006A0F83"/>
    <w:rsid w:val="006A1305"/>
    <w:rsid w:val="006A241D"/>
    <w:rsid w:val="006A33BE"/>
    <w:rsid w:val="006A3B2B"/>
    <w:rsid w:val="006B1169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20CD9"/>
    <w:rsid w:val="0072107B"/>
    <w:rsid w:val="0072285A"/>
    <w:rsid w:val="007229F0"/>
    <w:rsid w:val="00723060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62B4"/>
    <w:rsid w:val="00746737"/>
    <w:rsid w:val="00746D51"/>
    <w:rsid w:val="007504A1"/>
    <w:rsid w:val="00751C2D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97404"/>
    <w:rsid w:val="007A12EF"/>
    <w:rsid w:val="007A3A62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04C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93"/>
    <w:rsid w:val="00804D56"/>
    <w:rsid w:val="00804F8F"/>
    <w:rsid w:val="008113FD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376D9"/>
    <w:rsid w:val="0084139D"/>
    <w:rsid w:val="00842162"/>
    <w:rsid w:val="00842FCF"/>
    <w:rsid w:val="008438DB"/>
    <w:rsid w:val="00844CAE"/>
    <w:rsid w:val="00845336"/>
    <w:rsid w:val="008473AA"/>
    <w:rsid w:val="00850E7F"/>
    <w:rsid w:val="00851628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EE"/>
    <w:rsid w:val="00885133"/>
    <w:rsid w:val="0089004C"/>
    <w:rsid w:val="00893DC0"/>
    <w:rsid w:val="008947AC"/>
    <w:rsid w:val="008975FC"/>
    <w:rsid w:val="00897C8F"/>
    <w:rsid w:val="008A0693"/>
    <w:rsid w:val="008A078B"/>
    <w:rsid w:val="008A1214"/>
    <w:rsid w:val="008A13A6"/>
    <w:rsid w:val="008A2021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6F70"/>
    <w:rsid w:val="008B709B"/>
    <w:rsid w:val="008B7801"/>
    <w:rsid w:val="008C0E38"/>
    <w:rsid w:val="008C19CE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61D9"/>
    <w:rsid w:val="00916D1D"/>
    <w:rsid w:val="00917A84"/>
    <w:rsid w:val="009205B9"/>
    <w:rsid w:val="00921283"/>
    <w:rsid w:val="0092128A"/>
    <w:rsid w:val="00922AFB"/>
    <w:rsid w:val="00922DC7"/>
    <w:rsid w:val="00923692"/>
    <w:rsid w:val="00923D73"/>
    <w:rsid w:val="00927400"/>
    <w:rsid w:val="0093287F"/>
    <w:rsid w:val="0093350B"/>
    <w:rsid w:val="00934640"/>
    <w:rsid w:val="0093505E"/>
    <w:rsid w:val="0093681B"/>
    <w:rsid w:val="00936EA3"/>
    <w:rsid w:val="00936FC3"/>
    <w:rsid w:val="0094071F"/>
    <w:rsid w:val="009428B0"/>
    <w:rsid w:val="009438E2"/>
    <w:rsid w:val="009461A1"/>
    <w:rsid w:val="00946A0E"/>
    <w:rsid w:val="00951923"/>
    <w:rsid w:val="009527EC"/>
    <w:rsid w:val="00953212"/>
    <w:rsid w:val="00953E8B"/>
    <w:rsid w:val="009540D2"/>
    <w:rsid w:val="00954CED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3D76"/>
    <w:rsid w:val="00974217"/>
    <w:rsid w:val="00974FAC"/>
    <w:rsid w:val="00975256"/>
    <w:rsid w:val="009758B5"/>
    <w:rsid w:val="00975B01"/>
    <w:rsid w:val="00980211"/>
    <w:rsid w:val="00980ECD"/>
    <w:rsid w:val="00983D23"/>
    <w:rsid w:val="009850B7"/>
    <w:rsid w:val="00985E93"/>
    <w:rsid w:val="0098698F"/>
    <w:rsid w:val="0098699F"/>
    <w:rsid w:val="009901FA"/>
    <w:rsid w:val="00993A74"/>
    <w:rsid w:val="00994044"/>
    <w:rsid w:val="009977DB"/>
    <w:rsid w:val="009A015B"/>
    <w:rsid w:val="009A03EC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60E"/>
    <w:rsid w:val="009B039A"/>
    <w:rsid w:val="009B1620"/>
    <w:rsid w:val="009B20B0"/>
    <w:rsid w:val="009B214A"/>
    <w:rsid w:val="009B3FB8"/>
    <w:rsid w:val="009B7B94"/>
    <w:rsid w:val="009C1961"/>
    <w:rsid w:val="009C21DD"/>
    <w:rsid w:val="009C2513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736"/>
    <w:rsid w:val="009F23AB"/>
    <w:rsid w:val="009F4788"/>
    <w:rsid w:val="009F4DA7"/>
    <w:rsid w:val="009F5332"/>
    <w:rsid w:val="009F53B9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53A7"/>
    <w:rsid w:val="00A053CC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602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73B0"/>
    <w:rsid w:val="00A37A63"/>
    <w:rsid w:val="00A37F44"/>
    <w:rsid w:val="00A421AC"/>
    <w:rsid w:val="00A42711"/>
    <w:rsid w:val="00A43153"/>
    <w:rsid w:val="00A432E3"/>
    <w:rsid w:val="00A436AA"/>
    <w:rsid w:val="00A437A2"/>
    <w:rsid w:val="00A47513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7D9"/>
    <w:rsid w:val="00A96989"/>
    <w:rsid w:val="00A979DA"/>
    <w:rsid w:val="00A97ADE"/>
    <w:rsid w:val="00AA0038"/>
    <w:rsid w:val="00AA3717"/>
    <w:rsid w:val="00AA398C"/>
    <w:rsid w:val="00AA50F2"/>
    <w:rsid w:val="00AA683C"/>
    <w:rsid w:val="00AA6BF5"/>
    <w:rsid w:val="00AB3360"/>
    <w:rsid w:val="00AB4400"/>
    <w:rsid w:val="00AB7831"/>
    <w:rsid w:val="00AC2158"/>
    <w:rsid w:val="00AC2C86"/>
    <w:rsid w:val="00AD1B38"/>
    <w:rsid w:val="00AD1D7A"/>
    <w:rsid w:val="00AD4CBD"/>
    <w:rsid w:val="00AD5772"/>
    <w:rsid w:val="00AD6307"/>
    <w:rsid w:val="00AE0B6D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B00490"/>
    <w:rsid w:val="00B0364A"/>
    <w:rsid w:val="00B0377D"/>
    <w:rsid w:val="00B050F6"/>
    <w:rsid w:val="00B05F02"/>
    <w:rsid w:val="00B06758"/>
    <w:rsid w:val="00B069C1"/>
    <w:rsid w:val="00B06D63"/>
    <w:rsid w:val="00B07353"/>
    <w:rsid w:val="00B07420"/>
    <w:rsid w:val="00B11251"/>
    <w:rsid w:val="00B11BEE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26EE"/>
    <w:rsid w:val="00B44586"/>
    <w:rsid w:val="00B45672"/>
    <w:rsid w:val="00B45BD0"/>
    <w:rsid w:val="00B4740F"/>
    <w:rsid w:val="00B50928"/>
    <w:rsid w:val="00B5221C"/>
    <w:rsid w:val="00B54157"/>
    <w:rsid w:val="00B54D08"/>
    <w:rsid w:val="00B55C6B"/>
    <w:rsid w:val="00B55DB5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5EDB"/>
    <w:rsid w:val="00BA6B33"/>
    <w:rsid w:val="00BA6BED"/>
    <w:rsid w:val="00BA707E"/>
    <w:rsid w:val="00BA7297"/>
    <w:rsid w:val="00BA7687"/>
    <w:rsid w:val="00BA778B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2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6B0"/>
    <w:rsid w:val="00C06711"/>
    <w:rsid w:val="00C069C2"/>
    <w:rsid w:val="00C071FD"/>
    <w:rsid w:val="00C10507"/>
    <w:rsid w:val="00C10FA5"/>
    <w:rsid w:val="00C12456"/>
    <w:rsid w:val="00C1277A"/>
    <w:rsid w:val="00C12B57"/>
    <w:rsid w:val="00C14913"/>
    <w:rsid w:val="00C17300"/>
    <w:rsid w:val="00C17374"/>
    <w:rsid w:val="00C2170A"/>
    <w:rsid w:val="00C22A2F"/>
    <w:rsid w:val="00C22D87"/>
    <w:rsid w:val="00C23A9F"/>
    <w:rsid w:val="00C24647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E88"/>
    <w:rsid w:val="00C77282"/>
    <w:rsid w:val="00C777C6"/>
    <w:rsid w:val="00C80DC1"/>
    <w:rsid w:val="00C812A5"/>
    <w:rsid w:val="00C83ECF"/>
    <w:rsid w:val="00C8497C"/>
    <w:rsid w:val="00C86B08"/>
    <w:rsid w:val="00C911BB"/>
    <w:rsid w:val="00C91481"/>
    <w:rsid w:val="00C92329"/>
    <w:rsid w:val="00C944FB"/>
    <w:rsid w:val="00C94646"/>
    <w:rsid w:val="00C97472"/>
    <w:rsid w:val="00C97D6A"/>
    <w:rsid w:val="00CA0442"/>
    <w:rsid w:val="00CA14CE"/>
    <w:rsid w:val="00CA3020"/>
    <w:rsid w:val="00CA6081"/>
    <w:rsid w:val="00CA6B69"/>
    <w:rsid w:val="00CB094B"/>
    <w:rsid w:val="00CB26A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5A99"/>
    <w:rsid w:val="00CC6CD7"/>
    <w:rsid w:val="00CC7694"/>
    <w:rsid w:val="00CD0A2F"/>
    <w:rsid w:val="00CD287D"/>
    <w:rsid w:val="00CD485B"/>
    <w:rsid w:val="00CD52F7"/>
    <w:rsid w:val="00CD7ACA"/>
    <w:rsid w:val="00CE1296"/>
    <w:rsid w:val="00CE1F37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4398"/>
    <w:rsid w:val="00CF4FDE"/>
    <w:rsid w:val="00CF5623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24F6"/>
    <w:rsid w:val="00D12767"/>
    <w:rsid w:val="00D12E65"/>
    <w:rsid w:val="00D145AE"/>
    <w:rsid w:val="00D14A37"/>
    <w:rsid w:val="00D16488"/>
    <w:rsid w:val="00D16BB2"/>
    <w:rsid w:val="00D17838"/>
    <w:rsid w:val="00D209EF"/>
    <w:rsid w:val="00D20ED0"/>
    <w:rsid w:val="00D223B6"/>
    <w:rsid w:val="00D230E1"/>
    <w:rsid w:val="00D23EFB"/>
    <w:rsid w:val="00D23F06"/>
    <w:rsid w:val="00D3059B"/>
    <w:rsid w:val="00D31887"/>
    <w:rsid w:val="00D32D69"/>
    <w:rsid w:val="00D3363A"/>
    <w:rsid w:val="00D336FC"/>
    <w:rsid w:val="00D34637"/>
    <w:rsid w:val="00D3611E"/>
    <w:rsid w:val="00D362EF"/>
    <w:rsid w:val="00D40854"/>
    <w:rsid w:val="00D41860"/>
    <w:rsid w:val="00D423DC"/>
    <w:rsid w:val="00D42B52"/>
    <w:rsid w:val="00D44339"/>
    <w:rsid w:val="00D44B59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B225E"/>
    <w:rsid w:val="00DB2938"/>
    <w:rsid w:val="00DB5C37"/>
    <w:rsid w:val="00DB66D9"/>
    <w:rsid w:val="00DB68F4"/>
    <w:rsid w:val="00DC2695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23B9"/>
    <w:rsid w:val="00DF251E"/>
    <w:rsid w:val="00DF290D"/>
    <w:rsid w:val="00DF4875"/>
    <w:rsid w:val="00DF590E"/>
    <w:rsid w:val="00DF6185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4B11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41C5"/>
    <w:rsid w:val="00E34586"/>
    <w:rsid w:val="00E348C8"/>
    <w:rsid w:val="00E356AF"/>
    <w:rsid w:val="00E37A18"/>
    <w:rsid w:val="00E37EC8"/>
    <w:rsid w:val="00E40DAE"/>
    <w:rsid w:val="00E416CB"/>
    <w:rsid w:val="00E42222"/>
    <w:rsid w:val="00E43839"/>
    <w:rsid w:val="00E449A6"/>
    <w:rsid w:val="00E45687"/>
    <w:rsid w:val="00E4705B"/>
    <w:rsid w:val="00E50997"/>
    <w:rsid w:val="00E509E0"/>
    <w:rsid w:val="00E54C09"/>
    <w:rsid w:val="00E54E7D"/>
    <w:rsid w:val="00E558C0"/>
    <w:rsid w:val="00E5697E"/>
    <w:rsid w:val="00E57002"/>
    <w:rsid w:val="00E571F3"/>
    <w:rsid w:val="00E60C37"/>
    <w:rsid w:val="00E60FE4"/>
    <w:rsid w:val="00E61A9A"/>
    <w:rsid w:val="00E63505"/>
    <w:rsid w:val="00E642C5"/>
    <w:rsid w:val="00E64514"/>
    <w:rsid w:val="00E65260"/>
    <w:rsid w:val="00E6642B"/>
    <w:rsid w:val="00E71400"/>
    <w:rsid w:val="00E717D8"/>
    <w:rsid w:val="00E719F4"/>
    <w:rsid w:val="00E7717D"/>
    <w:rsid w:val="00E80953"/>
    <w:rsid w:val="00E8177F"/>
    <w:rsid w:val="00E83960"/>
    <w:rsid w:val="00E855FF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BA7"/>
    <w:rsid w:val="00EB7646"/>
    <w:rsid w:val="00EC0D03"/>
    <w:rsid w:val="00EC1060"/>
    <w:rsid w:val="00EC12B2"/>
    <w:rsid w:val="00EC12D1"/>
    <w:rsid w:val="00EC244E"/>
    <w:rsid w:val="00EC5A51"/>
    <w:rsid w:val="00EC64D7"/>
    <w:rsid w:val="00ED5254"/>
    <w:rsid w:val="00ED5F84"/>
    <w:rsid w:val="00ED6629"/>
    <w:rsid w:val="00ED7447"/>
    <w:rsid w:val="00EE1E28"/>
    <w:rsid w:val="00EE31DA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D01"/>
    <w:rsid w:val="00FD05F0"/>
    <w:rsid w:val="00FD107B"/>
    <w:rsid w:val="00FD155B"/>
    <w:rsid w:val="00FD1BF4"/>
    <w:rsid w:val="00FD6AF7"/>
    <w:rsid w:val="00FD7B3F"/>
    <w:rsid w:val="00FD7BAE"/>
    <w:rsid w:val="00FE1319"/>
    <w:rsid w:val="00FE37EE"/>
    <w:rsid w:val="00FE4DB0"/>
    <w:rsid w:val="00FE5428"/>
    <w:rsid w:val="00FE6585"/>
    <w:rsid w:val="00FE6B22"/>
    <w:rsid w:val="00FE78BF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B572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6968-0C53-42A8-9AB3-160A5FCD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Samuel McMillan</cp:lastModifiedBy>
  <cp:revision>2</cp:revision>
  <cp:lastPrinted>2017-05-05T11:23:00Z</cp:lastPrinted>
  <dcterms:created xsi:type="dcterms:W3CDTF">2017-06-09T17:05:00Z</dcterms:created>
  <dcterms:modified xsi:type="dcterms:W3CDTF">2017-06-09T17:05:00Z</dcterms:modified>
</cp:coreProperties>
</file>